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C11" w:rsidRDefault="00AD1C11" w:rsidP="00AD1C11">
      <w:pPr>
        <w:spacing w:line="276" w:lineRule="auto"/>
        <w:ind w:firstLine="0"/>
        <w:rPr>
          <w:rFonts w:eastAsia="Times New Roman" w:cs="Times New Roman"/>
          <w:b/>
          <w:szCs w:val="24"/>
        </w:rPr>
      </w:pPr>
      <w:r w:rsidRPr="00AD1C11">
        <w:rPr>
          <w:rFonts w:eastAsia="Times New Roman" w:cs="Times New Roman"/>
          <w:b/>
          <w:szCs w:val="24"/>
        </w:rPr>
        <w:t>Santrauka</w:t>
      </w:r>
    </w:p>
    <w:p w:rsidR="00AD1C11" w:rsidRPr="00AD1C11" w:rsidRDefault="00AD1C11" w:rsidP="00AD1C11">
      <w:pPr>
        <w:spacing w:line="276" w:lineRule="auto"/>
        <w:ind w:firstLine="0"/>
        <w:rPr>
          <w:rFonts w:eastAsia="Times New Roman" w:cs="Times New Roman"/>
          <w:b/>
          <w:szCs w:val="24"/>
        </w:rPr>
      </w:pPr>
      <w:bookmarkStart w:id="0" w:name="_GoBack"/>
      <w:bookmarkEnd w:id="0"/>
    </w:p>
    <w:p w:rsidR="00AD1C11" w:rsidRPr="00AD1C11" w:rsidRDefault="00AD1C11" w:rsidP="00AD1C11">
      <w:pPr>
        <w:spacing w:line="276" w:lineRule="auto"/>
        <w:ind w:firstLine="0"/>
        <w:rPr>
          <w:rFonts w:eastAsia="Times New Roman" w:cs="Times New Roman"/>
          <w:b/>
          <w:sz w:val="32"/>
          <w:szCs w:val="32"/>
        </w:rPr>
      </w:pPr>
      <w:r w:rsidRPr="00AD1C11">
        <w:rPr>
          <w:rFonts w:eastAsia="Times New Roman" w:cs="Times New Roman"/>
          <w:b/>
          <w:sz w:val="32"/>
          <w:szCs w:val="32"/>
        </w:rPr>
        <w:t>2014 m atlikto monitoringo „Europos bendrijos svarbos moliuskų rūšių, kurių apsaugai būtina steigti teritorijas populiacijų būklės vertinimas“</w:t>
      </w:r>
    </w:p>
    <w:p w:rsidR="00AD1C11" w:rsidRPr="00AD1C11" w:rsidRDefault="00AD1C11" w:rsidP="00AD1C11">
      <w:pPr>
        <w:spacing w:line="276" w:lineRule="auto"/>
        <w:ind w:firstLine="0"/>
        <w:rPr>
          <w:rFonts w:eastAsia="Times New Roman" w:cs="Times New Roman"/>
          <w:b/>
          <w:szCs w:val="24"/>
        </w:rPr>
      </w:pPr>
    </w:p>
    <w:p w:rsidR="00AD1C11" w:rsidRPr="00AD1C11" w:rsidRDefault="00AD1C11" w:rsidP="00AD1C11">
      <w:pPr>
        <w:spacing w:line="360" w:lineRule="auto"/>
        <w:ind w:firstLine="540"/>
        <w:rPr>
          <w:rFonts w:eastAsia="Times New Roman" w:cs="Times New Roman"/>
          <w:sz w:val="22"/>
        </w:rPr>
      </w:pPr>
      <w:r w:rsidRPr="00AD1C11">
        <w:rPr>
          <w:rFonts w:eastAsia="Times New Roman" w:cs="Times New Roman"/>
          <w:sz w:val="22"/>
        </w:rPr>
        <w:t xml:space="preserve">2014 m atliktas mažosios </w:t>
      </w:r>
      <w:proofErr w:type="spellStart"/>
      <w:r w:rsidRPr="00AD1C11">
        <w:rPr>
          <w:rFonts w:eastAsia="Times New Roman" w:cs="Times New Roman"/>
          <w:sz w:val="22"/>
        </w:rPr>
        <w:t>suktenės</w:t>
      </w:r>
      <w:proofErr w:type="spellEnd"/>
      <w:r w:rsidRPr="00AD1C11">
        <w:rPr>
          <w:rFonts w:eastAsia="Times New Roman" w:cs="Times New Roman"/>
          <w:sz w:val="22"/>
        </w:rPr>
        <w:t xml:space="preserve"> (</w:t>
      </w:r>
      <w:proofErr w:type="spellStart"/>
      <w:r w:rsidRPr="00AD1C11">
        <w:rPr>
          <w:rFonts w:eastAsia="Times New Roman" w:cs="Times New Roman"/>
          <w:i/>
          <w:sz w:val="22"/>
        </w:rPr>
        <w:t>Vertigo</w:t>
      </w:r>
      <w:proofErr w:type="spellEnd"/>
      <w:r w:rsidRPr="00AD1C11">
        <w:rPr>
          <w:rFonts w:eastAsia="Times New Roman" w:cs="Times New Roman"/>
          <w:i/>
          <w:sz w:val="22"/>
        </w:rPr>
        <w:t xml:space="preserve"> </w:t>
      </w:r>
      <w:proofErr w:type="spellStart"/>
      <w:r w:rsidRPr="00AD1C11">
        <w:rPr>
          <w:rFonts w:eastAsia="Times New Roman" w:cs="Times New Roman"/>
          <w:i/>
          <w:sz w:val="22"/>
        </w:rPr>
        <w:t>angustior</w:t>
      </w:r>
      <w:proofErr w:type="spellEnd"/>
      <w:r w:rsidRPr="00AD1C11">
        <w:rPr>
          <w:rFonts w:eastAsia="Times New Roman" w:cs="Times New Roman"/>
          <w:sz w:val="22"/>
        </w:rPr>
        <w:t>)</w:t>
      </w:r>
      <w:r w:rsidRPr="00AD1C11">
        <w:rPr>
          <w:rFonts w:eastAsia="Times New Roman" w:cs="Times New Roman"/>
          <w:i/>
          <w:sz w:val="22"/>
        </w:rPr>
        <w:t xml:space="preserve">, </w:t>
      </w:r>
      <w:proofErr w:type="spellStart"/>
      <w:r w:rsidRPr="00AD1C11">
        <w:rPr>
          <w:rFonts w:eastAsia="Times New Roman" w:cs="Times New Roman"/>
          <w:sz w:val="22"/>
        </w:rPr>
        <w:t>keturdantės</w:t>
      </w:r>
      <w:proofErr w:type="spellEnd"/>
      <w:r w:rsidRPr="00AD1C11">
        <w:rPr>
          <w:rFonts w:eastAsia="Times New Roman" w:cs="Times New Roman"/>
          <w:sz w:val="22"/>
        </w:rPr>
        <w:t xml:space="preserve"> </w:t>
      </w:r>
      <w:proofErr w:type="spellStart"/>
      <w:r w:rsidRPr="00AD1C11">
        <w:rPr>
          <w:rFonts w:eastAsia="Times New Roman" w:cs="Times New Roman"/>
          <w:sz w:val="22"/>
        </w:rPr>
        <w:t>suktenės</w:t>
      </w:r>
      <w:proofErr w:type="spellEnd"/>
      <w:r w:rsidRPr="00AD1C11">
        <w:rPr>
          <w:rFonts w:eastAsia="Times New Roman" w:cs="Times New Roman"/>
          <w:i/>
          <w:sz w:val="22"/>
        </w:rPr>
        <w:t xml:space="preserve"> </w:t>
      </w:r>
      <w:r w:rsidRPr="00AD1C11">
        <w:rPr>
          <w:rFonts w:eastAsia="Times New Roman" w:cs="Times New Roman"/>
          <w:sz w:val="22"/>
        </w:rPr>
        <w:t>(</w:t>
      </w:r>
      <w:proofErr w:type="spellStart"/>
      <w:r w:rsidRPr="00AD1C11">
        <w:rPr>
          <w:rFonts w:eastAsia="Times New Roman" w:cs="Times New Roman"/>
          <w:i/>
          <w:sz w:val="22"/>
        </w:rPr>
        <w:t>Vertigo</w:t>
      </w:r>
      <w:proofErr w:type="spellEnd"/>
      <w:r w:rsidRPr="00AD1C11">
        <w:rPr>
          <w:rFonts w:eastAsia="Times New Roman" w:cs="Times New Roman"/>
          <w:i/>
          <w:sz w:val="22"/>
        </w:rPr>
        <w:t xml:space="preserve">. </w:t>
      </w:r>
      <w:proofErr w:type="spellStart"/>
      <w:r w:rsidRPr="00AD1C11">
        <w:rPr>
          <w:rFonts w:eastAsia="Times New Roman" w:cs="Times New Roman"/>
          <w:i/>
          <w:sz w:val="22"/>
        </w:rPr>
        <w:t>geyeri</w:t>
      </w:r>
      <w:proofErr w:type="spellEnd"/>
      <w:r w:rsidRPr="00AD1C11">
        <w:rPr>
          <w:rFonts w:eastAsia="Times New Roman" w:cs="Times New Roman"/>
          <w:i/>
          <w:sz w:val="22"/>
        </w:rPr>
        <w:t xml:space="preserve">), </w:t>
      </w:r>
      <w:r w:rsidRPr="00AD1C11">
        <w:rPr>
          <w:rFonts w:eastAsia="Times New Roman" w:cs="Times New Roman"/>
          <w:sz w:val="22"/>
        </w:rPr>
        <w:t xml:space="preserve">pūstosios </w:t>
      </w:r>
      <w:proofErr w:type="spellStart"/>
      <w:r w:rsidRPr="00AD1C11">
        <w:rPr>
          <w:rFonts w:eastAsia="Times New Roman" w:cs="Times New Roman"/>
          <w:sz w:val="22"/>
        </w:rPr>
        <w:t>suktenės</w:t>
      </w:r>
      <w:proofErr w:type="spellEnd"/>
      <w:r w:rsidRPr="00AD1C11">
        <w:rPr>
          <w:rFonts w:eastAsia="Times New Roman" w:cs="Times New Roman"/>
          <w:i/>
          <w:sz w:val="22"/>
        </w:rPr>
        <w:t xml:space="preserve"> </w:t>
      </w:r>
      <w:r w:rsidRPr="00AD1C11">
        <w:rPr>
          <w:rFonts w:eastAsia="Times New Roman" w:cs="Times New Roman"/>
          <w:sz w:val="22"/>
        </w:rPr>
        <w:t>(</w:t>
      </w:r>
      <w:r w:rsidRPr="00AD1C11">
        <w:rPr>
          <w:rFonts w:eastAsia="Times New Roman" w:cs="Times New Roman"/>
          <w:i/>
          <w:sz w:val="22"/>
        </w:rPr>
        <w:t xml:space="preserve">V. </w:t>
      </w:r>
      <w:proofErr w:type="spellStart"/>
      <w:r w:rsidRPr="00AD1C11">
        <w:rPr>
          <w:rFonts w:eastAsia="Times New Roman" w:cs="Times New Roman"/>
          <w:i/>
          <w:sz w:val="22"/>
        </w:rPr>
        <w:t>moulinsiana</w:t>
      </w:r>
      <w:proofErr w:type="spellEnd"/>
      <w:r w:rsidRPr="00AD1C11">
        <w:rPr>
          <w:rFonts w:eastAsia="Times New Roman" w:cs="Times New Roman"/>
          <w:sz w:val="22"/>
        </w:rPr>
        <w:t>) ir</w:t>
      </w:r>
      <w:r w:rsidRPr="00AD1C11">
        <w:rPr>
          <w:rFonts w:eastAsia="Times New Roman" w:cs="Times New Roman"/>
          <w:i/>
          <w:sz w:val="22"/>
        </w:rPr>
        <w:t xml:space="preserve"> </w:t>
      </w:r>
      <w:r w:rsidRPr="00AD1C11">
        <w:rPr>
          <w:rFonts w:eastAsia="Times New Roman" w:cs="Times New Roman"/>
          <w:sz w:val="22"/>
        </w:rPr>
        <w:t>ovaliosios geldutės (</w:t>
      </w:r>
      <w:proofErr w:type="spellStart"/>
      <w:r w:rsidRPr="00AD1C11">
        <w:rPr>
          <w:rFonts w:eastAsia="Times New Roman" w:cs="Times New Roman"/>
          <w:i/>
          <w:sz w:val="22"/>
        </w:rPr>
        <w:t>Unio</w:t>
      </w:r>
      <w:proofErr w:type="spellEnd"/>
      <w:r w:rsidRPr="00AD1C11">
        <w:rPr>
          <w:rFonts w:eastAsia="Times New Roman" w:cs="Times New Roman"/>
          <w:i/>
          <w:sz w:val="22"/>
        </w:rPr>
        <w:t xml:space="preserve"> </w:t>
      </w:r>
      <w:proofErr w:type="spellStart"/>
      <w:r w:rsidRPr="00AD1C11">
        <w:rPr>
          <w:rFonts w:eastAsia="Times New Roman" w:cs="Times New Roman"/>
          <w:i/>
          <w:sz w:val="22"/>
        </w:rPr>
        <w:t>crassus</w:t>
      </w:r>
      <w:proofErr w:type="spellEnd"/>
      <w:r w:rsidRPr="00AD1C11">
        <w:rPr>
          <w:rFonts w:eastAsia="Times New Roman" w:cs="Times New Roman"/>
          <w:sz w:val="22"/>
        </w:rPr>
        <w:t xml:space="preserve">) monitoringas išskirtame </w:t>
      </w:r>
      <w:proofErr w:type="spellStart"/>
      <w:r w:rsidRPr="00AD1C11">
        <w:rPr>
          <w:rFonts w:eastAsia="Times New Roman" w:cs="Times New Roman"/>
          <w:sz w:val="22"/>
        </w:rPr>
        <w:t>Natura</w:t>
      </w:r>
      <w:proofErr w:type="spellEnd"/>
      <w:r w:rsidRPr="00AD1C11">
        <w:rPr>
          <w:rFonts w:eastAsia="Times New Roman" w:cs="Times New Roman"/>
          <w:sz w:val="22"/>
        </w:rPr>
        <w:t xml:space="preserve"> 2000 tinkle ir už jo ribų. Buvo įvertintas atskirų rūšių gausumas bei aplinkos būklė. Mažoji </w:t>
      </w:r>
      <w:proofErr w:type="spellStart"/>
      <w:r w:rsidRPr="00AD1C11">
        <w:rPr>
          <w:rFonts w:eastAsia="Times New Roman" w:cs="Times New Roman"/>
          <w:sz w:val="22"/>
        </w:rPr>
        <w:t>suktenė</w:t>
      </w:r>
      <w:proofErr w:type="spellEnd"/>
      <w:r w:rsidRPr="00AD1C11">
        <w:rPr>
          <w:rFonts w:eastAsia="Times New Roman" w:cs="Times New Roman"/>
          <w:sz w:val="22"/>
        </w:rPr>
        <w:t xml:space="preserve"> (</w:t>
      </w:r>
      <w:proofErr w:type="spellStart"/>
      <w:r w:rsidRPr="00AD1C11">
        <w:rPr>
          <w:rFonts w:eastAsia="Times New Roman" w:cs="Times New Roman"/>
          <w:i/>
          <w:sz w:val="22"/>
        </w:rPr>
        <w:t>Vertigo</w:t>
      </w:r>
      <w:proofErr w:type="spellEnd"/>
      <w:r w:rsidRPr="00AD1C11">
        <w:rPr>
          <w:rFonts w:eastAsia="Times New Roman" w:cs="Times New Roman"/>
          <w:i/>
          <w:sz w:val="22"/>
        </w:rPr>
        <w:t xml:space="preserve"> </w:t>
      </w:r>
      <w:proofErr w:type="spellStart"/>
      <w:r w:rsidRPr="00AD1C11">
        <w:rPr>
          <w:rFonts w:eastAsia="Times New Roman" w:cs="Times New Roman"/>
          <w:i/>
          <w:sz w:val="22"/>
        </w:rPr>
        <w:t>angustior</w:t>
      </w:r>
      <w:proofErr w:type="spellEnd"/>
      <w:r w:rsidRPr="00AD1C11">
        <w:rPr>
          <w:rFonts w:eastAsia="Times New Roman" w:cs="Times New Roman"/>
          <w:sz w:val="22"/>
        </w:rPr>
        <w:t>)</w:t>
      </w:r>
      <w:r w:rsidRPr="00AD1C11">
        <w:rPr>
          <w:rFonts w:eastAsia="Times New Roman" w:cs="Times New Roman"/>
          <w:i/>
          <w:sz w:val="22"/>
        </w:rPr>
        <w:t xml:space="preserve"> </w:t>
      </w:r>
      <w:r w:rsidRPr="00AD1C11">
        <w:rPr>
          <w:rFonts w:eastAsia="Times New Roman" w:cs="Times New Roman"/>
          <w:sz w:val="22"/>
        </w:rPr>
        <w:t xml:space="preserve">tirta dešimtyje teritorijų. Riešės upės slėnyje (Vilniaus raj.). Adutiškio pelkėje mažosios </w:t>
      </w:r>
      <w:proofErr w:type="spellStart"/>
      <w:r w:rsidRPr="00AD1C11">
        <w:rPr>
          <w:rFonts w:eastAsia="Times New Roman" w:cs="Times New Roman"/>
          <w:sz w:val="22"/>
        </w:rPr>
        <w:t>suktenės</w:t>
      </w:r>
      <w:proofErr w:type="spellEnd"/>
      <w:r w:rsidRPr="00AD1C11">
        <w:rPr>
          <w:rFonts w:eastAsia="Times New Roman" w:cs="Times New Roman"/>
          <w:sz w:val="22"/>
        </w:rPr>
        <w:t xml:space="preserve"> nerasta, teritorija visai netinkama </w:t>
      </w:r>
      <w:proofErr w:type="spellStart"/>
      <w:r w:rsidRPr="00AD1C11">
        <w:rPr>
          <w:rFonts w:eastAsia="Times New Roman" w:cs="Times New Roman"/>
          <w:sz w:val="22"/>
        </w:rPr>
        <w:t>suktenei</w:t>
      </w:r>
      <w:proofErr w:type="spellEnd"/>
      <w:r w:rsidRPr="00AD1C11">
        <w:rPr>
          <w:rFonts w:eastAsia="Times New Roman" w:cs="Times New Roman"/>
          <w:sz w:val="22"/>
        </w:rPr>
        <w:t xml:space="preserve">. Adutiškio miško pakraštyje buvusi pradinė teritorija suarta, populiacija sunaikinta. Tokia pat situacija ir Riešės upės slėnyje (Vilniaus raj.), buveinė dėl išsiplėtusių gyvenviečių tapo netinkama. Mažųjų </w:t>
      </w:r>
      <w:proofErr w:type="spellStart"/>
      <w:r w:rsidRPr="00AD1C11">
        <w:rPr>
          <w:rFonts w:eastAsia="Times New Roman" w:cs="Times New Roman"/>
          <w:sz w:val="22"/>
        </w:rPr>
        <w:t>suktenių</w:t>
      </w:r>
      <w:proofErr w:type="spellEnd"/>
      <w:r w:rsidRPr="00AD1C11">
        <w:rPr>
          <w:rFonts w:eastAsia="Times New Roman" w:cs="Times New Roman"/>
          <w:sz w:val="22"/>
        </w:rPr>
        <w:t xml:space="preserve"> </w:t>
      </w:r>
      <w:r w:rsidRPr="00AD1C11">
        <w:rPr>
          <w:rFonts w:eastAsia="Calibri" w:cs="Times New Roman"/>
          <w:sz w:val="22"/>
          <w:lang w:eastAsia="ar-SA"/>
        </w:rPr>
        <w:t xml:space="preserve">gausumas įvertintas kaip palankus (daugiau kaip 10 individų kvadratiniame metre) 16.7% stebėjimo taškų BAST ir už BAST ribų. Patenkinamas gausumas įvertintas 24,4% stebėjimo taškų, o blogas (0- 4 </w:t>
      </w:r>
      <w:proofErr w:type="spellStart"/>
      <w:r w:rsidRPr="00AD1C11">
        <w:rPr>
          <w:rFonts w:eastAsia="Calibri" w:cs="Times New Roman"/>
          <w:sz w:val="22"/>
          <w:lang w:eastAsia="ar-SA"/>
        </w:rPr>
        <w:t>ind</w:t>
      </w:r>
      <w:proofErr w:type="spellEnd"/>
      <w:r w:rsidRPr="00AD1C11">
        <w:rPr>
          <w:rFonts w:eastAsia="Calibri" w:cs="Times New Roman"/>
          <w:sz w:val="22"/>
          <w:lang w:eastAsia="ar-SA"/>
        </w:rPr>
        <w:t>./m</w:t>
      </w:r>
      <w:r w:rsidRPr="00AD1C11">
        <w:rPr>
          <w:rFonts w:eastAsia="Calibri" w:cs="Times New Roman"/>
          <w:sz w:val="22"/>
          <w:vertAlign w:val="superscript"/>
          <w:lang w:eastAsia="ar-SA"/>
        </w:rPr>
        <w:t>2</w:t>
      </w:r>
      <w:r w:rsidRPr="00AD1C11">
        <w:rPr>
          <w:rFonts w:eastAsia="Calibri" w:cs="Times New Roman"/>
          <w:sz w:val="22"/>
          <w:lang w:eastAsia="ar-SA"/>
        </w:rPr>
        <w:t>) 58,9% stebėjimo taškų.</w:t>
      </w:r>
      <w:r w:rsidRPr="00AD1C11">
        <w:rPr>
          <w:rFonts w:eastAsia="Times New Roman" w:cs="Times New Roman"/>
          <w:b/>
          <w:sz w:val="22"/>
        </w:rPr>
        <w:t xml:space="preserve"> </w:t>
      </w:r>
      <w:r w:rsidRPr="00AD1C11">
        <w:rPr>
          <w:rFonts w:eastAsia="Times New Roman" w:cs="Times New Roman"/>
          <w:sz w:val="22"/>
        </w:rPr>
        <w:t xml:space="preserve">Palanki mažosios </w:t>
      </w:r>
      <w:proofErr w:type="spellStart"/>
      <w:r w:rsidRPr="00AD1C11">
        <w:rPr>
          <w:rFonts w:eastAsia="Times New Roman" w:cs="Times New Roman"/>
          <w:sz w:val="22"/>
        </w:rPr>
        <w:t>suktenės</w:t>
      </w:r>
      <w:proofErr w:type="spellEnd"/>
      <w:r w:rsidRPr="00AD1C11">
        <w:rPr>
          <w:rFonts w:eastAsia="Times New Roman" w:cs="Times New Roman"/>
          <w:sz w:val="22"/>
        </w:rPr>
        <w:t xml:space="preserve"> buveinės būklė nustatyta pusėje (penkiuose) stebėjimo taškų. </w:t>
      </w:r>
      <w:r w:rsidRPr="00AD1C11">
        <w:rPr>
          <w:rFonts w:eastAsia="Calibri" w:cs="Times New Roman"/>
          <w:sz w:val="22"/>
          <w:lang w:eastAsia="ar-SA"/>
        </w:rPr>
        <w:t>18,2% stebėjimo taškų gausumas įvertintas kaip geras, 27,3% kaip patenkinamas, 54,5% kaip blogas. Buveinės drėgmės režimas 36,4% taškų įvertintas kaip palankus, o likusiuose stebėjimo taškuose kaip patenkinamas. 91% stebėjimo taškų ganymas  turėjo patenkinamą įtaką, o 9% tyrimo taškų veikė palankiai. Neigiamo pesticidų poveikio stebėjimo taškuose neregistruota. Visuose tyrimo taškuose humuso sluoksnis atitiko rūšies tolerancijos ribas. 72,7% tyrimo taškų pradėjo įsigalėti sumedėjusi augalija ir buveinės būklė pagal šį parametrą vertintina kaip "patenkinama", likusiuose 27,3% stebėjimo taškų buveinės būklė pagal šį parametrą vertintina kaip "palanki". Neigiamo rekreacijos poveikio nepastebėta.</w:t>
      </w:r>
    </w:p>
    <w:p w:rsidR="00AD1C11" w:rsidRPr="00AD1C11" w:rsidRDefault="00AD1C11" w:rsidP="00AD1C11">
      <w:pPr>
        <w:spacing w:line="360" w:lineRule="auto"/>
        <w:ind w:firstLine="540"/>
        <w:rPr>
          <w:rFonts w:eastAsia="Times New Roman" w:cs="Times New Roman"/>
          <w:sz w:val="22"/>
          <w:lang w:eastAsia="ar-SA"/>
        </w:rPr>
      </w:pPr>
      <w:proofErr w:type="spellStart"/>
      <w:r w:rsidRPr="00AD1C11">
        <w:rPr>
          <w:rFonts w:eastAsia="Times New Roman" w:cs="Times New Roman"/>
          <w:sz w:val="22"/>
        </w:rPr>
        <w:t>Keturdantės</w:t>
      </w:r>
      <w:proofErr w:type="spellEnd"/>
      <w:r w:rsidRPr="00AD1C11">
        <w:rPr>
          <w:rFonts w:eastAsia="Times New Roman" w:cs="Times New Roman"/>
          <w:sz w:val="22"/>
        </w:rPr>
        <w:t xml:space="preserve"> </w:t>
      </w:r>
      <w:proofErr w:type="spellStart"/>
      <w:r w:rsidRPr="00AD1C11">
        <w:rPr>
          <w:rFonts w:eastAsia="Times New Roman" w:cs="Times New Roman"/>
          <w:sz w:val="22"/>
        </w:rPr>
        <w:t>suktenės</w:t>
      </w:r>
      <w:proofErr w:type="spellEnd"/>
      <w:r w:rsidRPr="00AD1C11">
        <w:rPr>
          <w:rFonts w:eastAsia="Times New Roman" w:cs="Times New Roman"/>
          <w:sz w:val="22"/>
        </w:rPr>
        <w:t xml:space="preserve"> tirtos 5 teritorijose. </w:t>
      </w:r>
      <w:proofErr w:type="spellStart"/>
      <w:r w:rsidRPr="00AD1C11">
        <w:rPr>
          <w:rFonts w:eastAsia="Times New Roman" w:cs="Times New Roman"/>
          <w:sz w:val="22"/>
        </w:rPr>
        <w:t>Keturdančių</w:t>
      </w:r>
      <w:proofErr w:type="spellEnd"/>
      <w:r w:rsidRPr="00AD1C11">
        <w:rPr>
          <w:rFonts w:eastAsia="Times New Roman" w:cs="Times New Roman"/>
          <w:sz w:val="22"/>
        </w:rPr>
        <w:t xml:space="preserve"> </w:t>
      </w:r>
      <w:proofErr w:type="spellStart"/>
      <w:r w:rsidRPr="00AD1C11">
        <w:rPr>
          <w:rFonts w:eastAsia="Times New Roman" w:cs="Times New Roman"/>
          <w:sz w:val="22"/>
        </w:rPr>
        <w:t>suktenių</w:t>
      </w:r>
      <w:proofErr w:type="spellEnd"/>
      <w:r w:rsidRPr="00AD1C11">
        <w:rPr>
          <w:rFonts w:eastAsia="Times New Roman" w:cs="Times New Roman"/>
          <w:sz w:val="22"/>
        </w:rPr>
        <w:t xml:space="preserve"> </w:t>
      </w:r>
      <w:r w:rsidRPr="00AD1C11">
        <w:rPr>
          <w:rFonts w:eastAsia="Calibri" w:cs="Times New Roman"/>
          <w:sz w:val="22"/>
          <w:lang w:eastAsia="ar-SA"/>
        </w:rPr>
        <w:t xml:space="preserve">gausumas įvertintas kaip blogas (0-4 individų kvadratiniame metre) 80,0% stebėjimo taškų BAST ir už BAST ribų. Patenkinamas gausumas (5-10 </w:t>
      </w:r>
      <w:proofErr w:type="spellStart"/>
      <w:r w:rsidRPr="00AD1C11">
        <w:rPr>
          <w:rFonts w:eastAsia="Calibri" w:cs="Times New Roman"/>
          <w:sz w:val="22"/>
          <w:lang w:eastAsia="ar-SA"/>
        </w:rPr>
        <w:t>ind</w:t>
      </w:r>
      <w:proofErr w:type="spellEnd"/>
      <w:r w:rsidRPr="00AD1C11">
        <w:rPr>
          <w:rFonts w:eastAsia="Calibri" w:cs="Times New Roman"/>
          <w:sz w:val="22"/>
          <w:lang w:eastAsia="ar-SA"/>
        </w:rPr>
        <w:t>./m</w:t>
      </w:r>
      <w:r w:rsidRPr="00AD1C11">
        <w:rPr>
          <w:rFonts w:eastAsia="Calibri" w:cs="Times New Roman"/>
          <w:sz w:val="22"/>
          <w:vertAlign w:val="superscript"/>
          <w:lang w:eastAsia="ar-SA"/>
        </w:rPr>
        <w:t>2</w:t>
      </w:r>
      <w:r w:rsidRPr="00AD1C11">
        <w:rPr>
          <w:rFonts w:eastAsia="Calibri" w:cs="Times New Roman"/>
          <w:sz w:val="22"/>
          <w:lang w:eastAsia="ar-SA"/>
        </w:rPr>
        <w:t xml:space="preserve"> įvertintas likusiuose stebėjimo taškuose.</w:t>
      </w:r>
      <w:r w:rsidRPr="00AD1C11">
        <w:rPr>
          <w:rFonts w:eastAsia="Times New Roman" w:cs="Times New Roman"/>
          <w:sz w:val="22"/>
          <w:lang w:eastAsia="ar-SA"/>
        </w:rPr>
        <w:t xml:space="preserve"> </w:t>
      </w:r>
      <w:r w:rsidRPr="00AD1C11">
        <w:rPr>
          <w:rFonts w:eastAsia="Times New Roman" w:cs="Times New Roman"/>
          <w:sz w:val="22"/>
        </w:rPr>
        <w:t xml:space="preserve">Gera buveinės aplinkos savybių būklė (įvertinus 6 aplinkos parametrus) buvo registruota 4 stebėjimo taškuose BAST ir už BAST ribų, patenkinama būklė registruota 1 stebėjimo taške. Buveinės drėgmės režimas 80 stebėjimo taškų įvertintas kaip geras, 20 taškų patenkinamas. Ganymo poveikis 80 stebėjimo taškų vertintinas kaip patenkinamai, o 20 taškų "gerai". Pesticidų neigiamas poveikis nei viename iš tyrimo taškų nebuvo stebėtas. Humuso sluoksnis visuose stebėjimo taškuose buvo palankus. Sumedėjusi augalija 80 stebėjimo taškų neturėjo neigiamo poveikio, o 20 stebėjimo taškų buveinės  būklė pagal šį faktorių vertinta kaip "patenkinama". Neigiamas rekreacijos poveikis tyrimo taškuose nebuvo pastebėtas.  </w:t>
      </w:r>
    </w:p>
    <w:p w:rsidR="00AD1C11" w:rsidRPr="00AD1C11" w:rsidRDefault="00AD1C11" w:rsidP="00AD1C11">
      <w:pPr>
        <w:spacing w:line="360" w:lineRule="auto"/>
        <w:ind w:firstLine="540"/>
        <w:rPr>
          <w:rFonts w:eastAsia="Times New Roman" w:cs="Times New Roman"/>
          <w:sz w:val="22"/>
        </w:rPr>
      </w:pPr>
      <w:r w:rsidRPr="00AD1C11">
        <w:rPr>
          <w:rFonts w:eastAsia="Times New Roman" w:cs="Times New Roman"/>
          <w:sz w:val="22"/>
        </w:rPr>
        <w:t xml:space="preserve">Pūstųjų </w:t>
      </w:r>
      <w:proofErr w:type="spellStart"/>
      <w:r w:rsidRPr="00AD1C11">
        <w:rPr>
          <w:rFonts w:eastAsia="Times New Roman" w:cs="Times New Roman"/>
          <w:sz w:val="22"/>
        </w:rPr>
        <w:t>suktenių</w:t>
      </w:r>
      <w:proofErr w:type="spellEnd"/>
      <w:r w:rsidRPr="00AD1C11">
        <w:rPr>
          <w:rFonts w:eastAsia="Times New Roman" w:cs="Times New Roman"/>
          <w:sz w:val="22"/>
        </w:rPr>
        <w:t xml:space="preserve"> </w:t>
      </w:r>
      <w:r w:rsidRPr="00AD1C11">
        <w:rPr>
          <w:rFonts w:eastAsia="Calibri" w:cs="Times New Roman"/>
          <w:sz w:val="22"/>
          <w:lang w:eastAsia="ar-SA"/>
        </w:rPr>
        <w:t xml:space="preserve">gausumas įvertintas kaip palankus (daugiau kaip 10 individų kvadratiniame metre) 16.7% stebėjimo taškų BAST ir už BAST ribų. Patenkinamas gausumas įvertintas 24,4% stebėjimo taškų, o blogas (0- 4 </w:t>
      </w:r>
      <w:proofErr w:type="spellStart"/>
      <w:r w:rsidRPr="00AD1C11">
        <w:rPr>
          <w:rFonts w:eastAsia="Calibri" w:cs="Times New Roman"/>
          <w:sz w:val="22"/>
          <w:lang w:eastAsia="ar-SA"/>
        </w:rPr>
        <w:t>ind</w:t>
      </w:r>
      <w:proofErr w:type="spellEnd"/>
      <w:r w:rsidRPr="00AD1C11">
        <w:rPr>
          <w:rFonts w:eastAsia="Calibri" w:cs="Times New Roman"/>
          <w:sz w:val="22"/>
          <w:lang w:eastAsia="ar-SA"/>
        </w:rPr>
        <w:t>/m</w:t>
      </w:r>
      <w:r w:rsidRPr="00AD1C11">
        <w:rPr>
          <w:rFonts w:eastAsia="Calibri" w:cs="Times New Roman"/>
          <w:sz w:val="22"/>
          <w:vertAlign w:val="superscript"/>
          <w:lang w:eastAsia="ar-SA"/>
        </w:rPr>
        <w:t>2</w:t>
      </w:r>
      <w:r w:rsidRPr="00AD1C11">
        <w:rPr>
          <w:rFonts w:eastAsia="Calibri" w:cs="Times New Roman"/>
          <w:sz w:val="22"/>
          <w:lang w:eastAsia="ar-SA"/>
        </w:rPr>
        <w:t xml:space="preserve">) 58,9% stebėjimo taškų. </w:t>
      </w:r>
      <w:r w:rsidRPr="00AD1C11">
        <w:rPr>
          <w:rFonts w:eastAsia="Times New Roman" w:cs="Times New Roman"/>
          <w:sz w:val="22"/>
        </w:rPr>
        <w:t xml:space="preserve">Pūstosios </w:t>
      </w:r>
      <w:proofErr w:type="spellStart"/>
      <w:r w:rsidRPr="00AD1C11">
        <w:rPr>
          <w:rFonts w:eastAsia="Times New Roman" w:cs="Times New Roman"/>
          <w:sz w:val="22"/>
        </w:rPr>
        <w:t>suktenės</w:t>
      </w:r>
      <w:proofErr w:type="spellEnd"/>
      <w:r w:rsidRPr="00AD1C11">
        <w:rPr>
          <w:rFonts w:eastAsia="Times New Roman" w:cs="Times New Roman"/>
          <w:sz w:val="22"/>
        </w:rPr>
        <w:t xml:space="preserve"> aplinkos būklė penkiuose stebėjimo taškuose BAST ir už BAST ribų vertintina kaip palanki, o viename taške už BAST ribų patenkinama. Pusėje stebėtų taškų pūstosios </w:t>
      </w:r>
      <w:proofErr w:type="spellStart"/>
      <w:r w:rsidRPr="00AD1C11">
        <w:rPr>
          <w:rFonts w:eastAsia="Times New Roman" w:cs="Times New Roman"/>
          <w:sz w:val="22"/>
        </w:rPr>
        <w:t>suktenės</w:t>
      </w:r>
      <w:proofErr w:type="spellEnd"/>
      <w:r w:rsidRPr="00AD1C11">
        <w:rPr>
          <w:rFonts w:eastAsia="Times New Roman" w:cs="Times New Roman"/>
          <w:sz w:val="22"/>
        </w:rPr>
        <w:t xml:space="preserve"> gausumas nepalankus, </w:t>
      </w:r>
      <w:r w:rsidRPr="00AD1C11">
        <w:rPr>
          <w:rFonts w:eastAsia="Calibri" w:cs="Times New Roman"/>
          <w:sz w:val="22"/>
          <w:lang w:eastAsia="ar-SA"/>
        </w:rPr>
        <w:t xml:space="preserve">33,3% tyrimo taškų palankus, likusiuose patenkinamas. </w:t>
      </w:r>
      <w:r w:rsidRPr="00AD1C11">
        <w:rPr>
          <w:rFonts w:eastAsia="Calibri" w:cs="Times New Roman"/>
          <w:sz w:val="22"/>
          <w:lang w:eastAsia="ar-SA"/>
        </w:rPr>
        <w:lastRenderedPageBreak/>
        <w:t xml:space="preserve">Drėgmės režimas 83,3% palankus, likusiuose stebėjimo taškuose patenkinamas. Ganymo poveikis visose stebėjimo buveinėse turėjo nedidelę įtaką ir šio faktoriaus įtaka buveinei vertinama kaip patenkinama. Neigiamo pesticidų poveikio buveinėms nepastebėta. Buveinės </w:t>
      </w:r>
      <w:proofErr w:type="spellStart"/>
      <w:r w:rsidRPr="00AD1C11">
        <w:rPr>
          <w:rFonts w:eastAsia="Calibri" w:cs="Times New Roman"/>
          <w:sz w:val="22"/>
          <w:lang w:eastAsia="ar-SA"/>
        </w:rPr>
        <w:t>humusingumas</w:t>
      </w:r>
      <w:proofErr w:type="spellEnd"/>
      <w:r w:rsidRPr="00AD1C11">
        <w:rPr>
          <w:rFonts w:eastAsia="Calibri" w:cs="Times New Roman"/>
          <w:sz w:val="22"/>
          <w:lang w:eastAsia="ar-SA"/>
        </w:rPr>
        <w:t xml:space="preserve"> atitiko rūšies tolerancijos ribas. Pusėje buveinių pradeda įsigalėti sumedėjusi augalija ir pagal šį faktorių buveinės vertinamos patenkinamai. Likusių buveinių būklė vertinama kaip palanki. Rekreacija stebėtuose tyrimo taškuose nevyko ir jos poveikio nėra.</w:t>
      </w:r>
    </w:p>
    <w:p w:rsidR="00AD1C11" w:rsidRPr="00AD1C11" w:rsidRDefault="00AD1C11" w:rsidP="00AD1C11">
      <w:pPr>
        <w:spacing w:line="360" w:lineRule="auto"/>
        <w:ind w:firstLine="540"/>
        <w:rPr>
          <w:rFonts w:eastAsia="Times New Roman" w:cs="Times New Roman"/>
          <w:sz w:val="22"/>
        </w:rPr>
      </w:pPr>
      <w:r w:rsidRPr="00AD1C11">
        <w:rPr>
          <w:rFonts w:eastAsia="Times New Roman" w:cs="Times New Roman"/>
          <w:sz w:val="22"/>
        </w:rPr>
        <w:t>Gera buveinės aplinkos savybių būklė (įvertinus 6 aplinkos parametrus) buvo registruota 20 stebėjimo taškų (25% visų taškų) BAST ir už BAST ribų, patenkinama būklė registruota 58 stebėjimo taškuose (75% visų taškų). Bendra buveinės būklė įvertinus ir populiacijos gausumą 12 stebėjimo taškų nustatyta kaip gera, 50 kaip patenkinama ir 16 stebėjimo taškų – bloga. Vertinant apibendrinus visų stebėjimo taškų stebėjimo teritorijoje (BAST ir už BAST ribų) duomenis, 4 BAST nustatyta palanki aplinkos savybių būklė, 20 stebėjimo teritorijų patenkinama, o įvertinus ir rūšies gausumą palanki būklė nustatyta tik 2 teritorijose, patenkinama 19, o bloga – 3 teritorijose.</w:t>
      </w:r>
    </w:p>
    <w:p w:rsidR="00AD1C11" w:rsidRPr="00AD1C11" w:rsidRDefault="00AD1C11" w:rsidP="00AD1C11">
      <w:pPr>
        <w:spacing w:line="360" w:lineRule="auto"/>
        <w:ind w:firstLine="540"/>
        <w:rPr>
          <w:rFonts w:eastAsia="Times New Roman" w:cs="Times New Roman"/>
          <w:sz w:val="22"/>
        </w:rPr>
      </w:pPr>
      <w:r w:rsidRPr="00AD1C11">
        <w:rPr>
          <w:rFonts w:eastAsia="Times New Roman" w:cs="Times New Roman"/>
          <w:sz w:val="22"/>
        </w:rPr>
        <w:t>Vandens tėkmės reguliavimo įtakos nepastebėta</w:t>
      </w:r>
      <w:r w:rsidRPr="00AD1C11">
        <w:rPr>
          <w:rFonts w:eastAsia="Times New Roman" w:cs="Times New Roman"/>
          <w:b/>
          <w:sz w:val="22"/>
        </w:rPr>
        <w:t xml:space="preserve"> </w:t>
      </w:r>
      <w:r w:rsidRPr="00AD1C11">
        <w:rPr>
          <w:rFonts w:eastAsia="Times New Roman" w:cs="Times New Roman"/>
          <w:sz w:val="22"/>
        </w:rPr>
        <w:t>67,9% stebėjimo taškų, o vandens tėkmė reguliuojama 14,2% taškų. Likusiuose taškuose stebėtos natūralios mažai reikšmingos patvankos. 55,1% stebėjimo taškų upės dugno struktūra gera, 24,4% struktūra patenkinama, o 20,5% bloga.</w:t>
      </w:r>
    </w:p>
    <w:p w:rsidR="00AD1C11" w:rsidRPr="00AD1C11" w:rsidRDefault="00AD1C11" w:rsidP="00AD1C11">
      <w:pPr>
        <w:spacing w:line="360" w:lineRule="auto"/>
        <w:ind w:firstLine="540"/>
        <w:rPr>
          <w:rFonts w:eastAsia="Times New Roman" w:cs="Times New Roman"/>
          <w:b/>
          <w:sz w:val="22"/>
        </w:rPr>
      </w:pPr>
      <w:r w:rsidRPr="00AD1C11">
        <w:rPr>
          <w:rFonts w:eastAsia="Times New Roman" w:cs="Times New Roman"/>
          <w:sz w:val="22"/>
        </w:rPr>
        <w:t>Vertinant vizualiai vandens kokybė 91,1% stebėjimo taškų įvertinta kaip gera, likusiuose patenkinama. Upės dugno užaugimas augalais (eutrofikacija) pastebėta 26,9% taškų. Didžiojoje dalyje taškų 56,4% eutrofikacijos nepastebėta, 16,7% taškų stebimas prasidedantis dugno užaugimas vandens augalais. Vertinant buveinės apšviestumą 74,3% taškų aplinkos faktorius įvertintas kaip teigiamas, 24,4% patenkinamas ir 1,3 % blogas. Rekreacijos poveikis nestebimas 58,9% taškų, o stiprus rekreacijos poveikis pastebėtas 12,9% taškų. Vizualiai vertinant žuvų buvimą upėse 67,9% stebėjimo taškų įvertinta kaip palankiai, patenkinamai 24,4% taškų, o bloga būklė 5,1% taškų.</w:t>
      </w:r>
    </w:p>
    <w:p w:rsidR="009A46F1" w:rsidRDefault="009A46F1"/>
    <w:sectPr w:rsidR="009A46F1">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C11"/>
    <w:rsid w:val="009A46F1"/>
    <w:rsid w:val="00AD1C1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762CEF-EAA5-4F2A-9F73-5E3C6780E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t-LT" w:eastAsia="en-US" w:bidi="ar-SA"/>
      </w:rPr>
    </w:rPrDefault>
    <w:pPrDefault>
      <w:pPr>
        <w:ind w:firstLine="73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3477</Words>
  <Characters>1982</Characters>
  <Application>Microsoft Office Word</Application>
  <DocSecurity>0</DocSecurity>
  <Lines>16</Lines>
  <Paragraphs>10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Mereškevičienė</dc:creator>
  <cp:keywords/>
  <dc:description/>
  <cp:lastModifiedBy>Irena Mereškevičienė</cp:lastModifiedBy>
  <cp:revision>1</cp:revision>
  <dcterms:created xsi:type="dcterms:W3CDTF">2015-10-13T07:31:00Z</dcterms:created>
  <dcterms:modified xsi:type="dcterms:W3CDTF">2015-10-13T07:34:00Z</dcterms:modified>
</cp:coreProperties>
</file>